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南银理财珠联璧合悦稳（最低持有91天）公募人民币理财产品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6,920,123,950.79份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万家基金管理有限公司,中粮信托有限责任公司,厦门国际信托有限公司,国投泰康信托有限公司,招商基金管理有限公司,鑫元基金管理有限公司,鑫沅资产管理有限公司,中国人保资产管理有限公司,交银施罗德基金管理有限公司,江苏省国际信托有限责任公司,上海光大证券资产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5,518,294,897.77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1.0780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1,772,370,616.17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174,239,774.34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1.0758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截至报告期末，本产品A32001份额净值为1.0780元，A32002份额净值为1.0810元，A32003份额净值为1.0758元。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97.05%</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2.95%</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881,953,054.36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730,833,632.16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483,833,191.02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438,003,467.51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319,032,671.63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313,263,106.75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298,784,222.03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285,477,322.44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DQCKX202412100001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民生银行定期存款20241210</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519199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万家家享中短债债券A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199,395,115.49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0120080000000782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南银理财悦稳最低持有91天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产品投资关联方作为管理人的资产管理产品交易金额213,000,000.00元。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产品支付关联方托管费345,161.24元，支付关联方代销费0.00元。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